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EA7DD" w14:textId="77777777" w:rsidR="006148D7" w:rsidRDefault="006148D7" w:rsidP="00F8664D">
      <w:pPr>
        <w:spacing w:line="276" w:lineRule="auto"/>
        <w:jc w:val="center"/>
        <w:rPr>
          <w:rFonts w:ascii="Times New Roman" w:hAnsi="Times New Roman" w:cs="Times New Roman"/>
          <w:b/>
          <w:bCs/>
          <w:sz w:val="24"/>
          <w:szCs w:val="24"/>
          <w:u w:val="single"/>
        </w:rPr>
      </w:pPr>
    </w:p>
    <w:p w14:paraId="255804ED" w14:textId="77777777" w:rsidR="006148D7" w:rsidRDefault="006148D7" w:rsidP="00F8664D">
      <w:pPr>
        <w:spacing w:line="276" w:lineRule="auto"/>
        <w:jc w:val="center"/>
        <w:rPr>
          <w:rFonts w:ascii="Times New Roman" w:hAnsi="Times New Roman" w:cs="Times New Roman"/>
          <w:b/>
          <w:bCs/>
          <w:sz w:val="24"/>
          <w:szCs w:val="24"/>
          <w:u w:val="single"/>
        </w:rPr>
      </w:pPr>
    </w:p>
    <w:p w14:paraId="21FE34E3" w14:textId="77777777" w:rsidR="006148D7" w:rsidRDefault="006148D7" w:rsidP="00F8664D">
      <w:pPr>
        <w:spacing w:line="276" w:lineRule="auto"/>
        <w:jc w:val="center"/>
        <w:rPr>
          <w:rFonts w:ascii="Times New Roman" w:hAnsi="Times New Roman" w:cs="Times New Roman"/>
          <w:b/>
          <w:bCs/>
          <w:sz w:val="24"/>
          <w:szCs w:val="24"/>
          <w:u w:val="single"/>
        </w:rPr>
      </w:pPr>
    </w:p>
    <w:p w14:paraId="1359BDB5" w14:textId="77777777" w:rsidR="006148D7" w:rsidRDefault="006148D7" w:rsidP="00F8664D">
      <w:pPr>
        <w:spacing w:line="276" w:lineRule="auto"/>
        <w:jc w:val="center"/>
        <w:rPr>
          <w:rFonts w:ascii="Times New Roman" w:hAnsi="Times New Roman" w:cs="Times New Roman"/>
          <w:b/>
          <w:bCs/>
          <w:sz w:val="24"/>
          <w:szCs w:val="24"/>
          <w:u w:val="single"/>
        </w:rPr>
      </w:pPr>
    </w:p>
    <w:p w14:paraId="5A13D01E" w14:textId="509D6A9F" w:rsidR="006148D7" w:rsidRDefault="00A50981" w:rsidP="00F8664D">
      <w:pPr>
        <w:spacing w:line="276"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KAZAURE </w:t>
      </w:r>
      <w:bookmarkStart w:id="0" w:name="_GoBack"/>
      <w:bookmarkEnd w:id="0"/>
      <w:r w:rsidR="008E7E35" w:rsidRPr="00545E8F">
        <w:rPr>
          <w:rFonts w:ascii="Times New Roman" w:hAnsi="Times New Roman" w:cs="Times New Roman"/>
          <w:b/>
          <w:bCs/>
          <w:sz w:val="24"/>
          <w:szCs w:val="24"/>
          <w:u w:val="single"/>
        </w:rPr>
        <w:t xml:space="preserve"> LOCAL GOVERNMENT COUNCILS </w:t>
      </w:r>
    </w:p>
    <w:p w14:paraId="2EF0153F" w14:textId="74CF91A8" w:rsidR="008E7E35" w:rsidRPr="00545E8F" w:rsidRDefault="008E7E35" w:rsidP="00F8664D">
      <w:pPr>
        <w:spacing w:line="276" w:lineRule="auto"/>
        <w:jc w:val="center"/>
        <w:rPr>
          <w:rFonts w:ascii="Times New Roman" w:hAnsi="Times New Roman" w:cs="Times New Roman"/>
          <w:b/>
          <w:bCs/>
          <w:sz w:val="24"/>
          <w:szCs w:val="24"/>
          <w:u w:val="single"/>
        </w:rPr>
      </w:pPr>
      <w:r w:rsidRPr="00545E8F">
        <w:rPr>
          <w:rFonts w:ascii="Times New Roman" w:hAnsi="Times New Roman" w:cs="Times New Roman"/>
          <w:b/>
          <w:bCs/>
          <w:sz w:val="24"/>
          <w:szCs w:val="24"/>
          <w:u w:val="single"/>
        </w:rPr>
        <w:t>ACCOUNTING POLICIES</w:t>
      </w:r>
    </w:p>
    <w:p w14:paraId="0F77AB98" w14:textId="424E9A78" w:rsidR="008E7E35" w:rsidRPr="00545E8F" w:rsidRDefault="008E7E35" w:rsidP="00F8664D">
      <w:pPr>
        <w:spacing w:line="276" w:lineRule="auto"/>
        <w:ind w:firstLine="351"/>
        <w:jc w:val="center"/>
        <w:rPr>
          <w:rFonts w:ascii="Arial Narrow" w:hAnsi="Arial Narrow" w:cs="Tahoma"/>
          <w:b/>
          <w:color w:val="000000" w:themeColor="text1"/>
          <w:sz w:val="24"/>
          <w:szCs w:val="24"/>
        </w:rPr>
      </w:pPr>
      <w:r w:rsidRPr="00545E8F">
        <w:rPr>
          <w:rFonts w:ascii="Arial Narrow" w:hAnsi="Arial Narrow" w:cs="Tahoma"/>
          <w:b/>
          <w:color w:val="000000" w:themeColor="text1"/>
          <w:sz w:val="24"/>
          <w:szCs w:val="24"/>
        </w:rPr>
        <w:t>Summary of Significant Accounting Policies:</w:t>
      </w:r>
    </w:p>
    <w:p w14:paraId="5F2E3D1D" w14:textId="1029CED2"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General information</w:t>
      </w:r>
    </w:p>
    <w:p w14:paraId="600BD8D0" w14:textId="10EE139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1.1 The Federal Executive Council of Nigeria approved the adoption of International Public Sector Accounting Standards (IPSAS) in July 2010. Public Sector Entities were required to </w:t>
      </w:r>
      <w:proofErr w:type="gramStart"/>
      <w:r w:rsidRPr="00545E8F">
        <w:rPr>
          <w:rFonts w:ascii="Times New Roman" w:hAnsi="Times New Roman" w:cs="Times New Roman"/>
          <w:sz w:val="24"/>
          <w:szCs w:val="24"/>
        </w:rPr>
        <w:t>adopt</w:t>
      </w:r>
      <w:proofErr w:type="gramEnd"/>
      <w:r w:rsidRPr="00545E8F">
        <w:rPr>
          <w:rFonts w:ascii="Times New Roman" w:hAnsi="Times New Roman" w:cs="Times New Roman"/>
          <w:sz w:val="24"/>
          <w:szCs w:val="24"/>
        </w:rPr>
        <w:t>, prepare and present 2014 Financial Statements on Cash Basis while 2016 Financial Statements was to be prepared using Accrual Basis IPSAS. Jigawa State Local Governments was in compliant with Cash Basis</w:t>
      </w:r>
    </w:p>
    <w:p w14:paraId="0A178E4E" w14:textId="77777777" w:rsidR="008969BF" w:rsidRPr="00545E8F" w:rsidRDefault="008969BF" w:rsidP="00F8664D">
      <w:pPr>
        <w:spacing w:line="276" w:lineRule="auto"/>
        <w:jc w:val="both"/>
        <w:rPr>
          <w:rFonts w:ascii="Times New Roman" w:hAnsi="Times New Roman" w:cs="Times New Roman"/>
          <w:sz w:val="24"/>
          <w:szCs w:val="24"/>
        </w:rPr>
      </w:pPr>
    </w:p>
    <w:p w14:paraId="4189802D" w14:textId="74EF24CA" w:rsidR="008969BF" w:rsidRPr="00545E8F" w:rsidRDefault="00BA56D4"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 xml:space="preserve">2.1 </w:t>
      </w:r>
      <w:r w:rsidR="008969BF" w:rsidRPr="00545E8F">
        <w:rPr>
          <w:rFonts w:ascii="Times New Roman" w:hAnsi="Times New Roman" w:cs="Times New Roman"/>
          <w:sz w:val="24"/>
          <w:szCs w:val="24"/>
        </w:rPr>
        <w:tab/>
      </w:r>
      <w:r w:rsidR="008969BF" w:rsidRPr="00545E8F">
        <w:rPr>
          <w:rFonts w:ascii="Times New Roman" w:hAnsi="Times New Roman" w:cs="Times New Roman"/>
          <w:b/>
          <w:bCs/>
          <w:sz w:val="24"/>
          <w:szCs w:val="24"/>
        </w:rPr>
        <w:t xml:space="preserve"> Statement of compliance with IPSAS and explanations</w:t>
      </w:r>
    </w:p>
    <w:p w14:paraId="5307054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 Councils have been prepared in accordance with Accrual Basis, International Public Sector Accounting Standards (IPSASs). </w:t>
      </w:r>
    </w:p>
    <w:p w14:paraId="4F635BB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Local Governments Financial Statements are presented in Nigerian Naira, which is the functional and reporting currency and all values are rounded to the nearest thousand except where the thousand signs (N’000) is not indicated. The accounting policies have been consistently applied to all years presented. It is therefore, the Jigawa State Local Government Councils Financial Statements are prepared on an Accrual Basis.</w:t>
      </w:r>
    </w:p>
    <w:p w14:paraId="31C1BE1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  The Financial Statements presented include:</w:t>
      </w:r>
    </w:p>
    <w:p w14:paraId="70A7417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1:</w:t>
      </w:r>
      <w:r w:rsidRPr="00545E8F">
        <w:rPr>
          <w:rFonts w:ascii="Times New Roman" w:hAnsi="Times New Roman" w:cs="Times New Roman"/>
          <w:sz w:val="24"/>
          <w:szCs w:val="24"/>
        </w:rPr>
        <w:tab/>
        <w:t>Consolidated Statement of Financial Performance</w:t>
      </w:r>
    </w:p>
    <w:p w14:paraId="5B865C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2:</w:t>
      </w:r>
      <w:r w:rsidRPr="00545E8F">
        <w:rPr>
          <w:rFonts w:ascii="Times New Roman" w:hAnsi="Times New Roman" w:cs="Times New Roman"/>
          <w:sz w:val="24"/>
          <w:szCs w:val="24"/>
        </w:rPr>
        <w:tab/>
        <w:t>Consolidated Statement of Financial Position</w:t>
      </w:r>
    </w:p>
    <w:p w14:paraId="4CA6BD1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3:</w:t>
      </w:r>
      <w:r w:rsidRPr="00545E8F">
        <w:rPr>
          <w:rFonts w:ascii="Times New Roman" w:hAnsi="Times New Roman" w:cs="Times New Roman"/>
          <w:sz w:val="24"/>
          <w:szCs w:val="24"/>
        </w:rPr>
        <w:tab/>
        <w:t>Consolidated Statement of Cash Flows</w:t>
      </w:r>
    </w:p>
    <w:p w14:paraId="33B11DE2"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4:</w:t>
      </w:r>
      <w:r w:rsidRPr="00545E8F">
        <w:rPr>
          <w:rFonts w:ascii="Times New Roman" w:hAnsi="Times New Roman" w:cs="Times New Roman"/>
          <w:sz w:val="24"/>
          <w:szCs w:val="24"/>
        </w:rPr>
        <w:tab/>
        <w:t>Consolidated Statement of Changes in Equity</w:t>
      </w:r>
    </w:p>
    <w:p w14:paraId="76B043DE" w14:textId="1A1576A4" w:rsidR="000435A9" w:rsidRPr="00545E8F" w:rsidRDefault="000435A9"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5: Comparisons of Budgeted and Actual</w:t>
      </w:r>
    </w:p>
    <w:p w14:paraId="3E21939C" w14:textId="4523F2ED"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Notes to the Accounts </w:t>
      </w:r>
    </w:p>
    <w:p w14:paraId="4EBF5DFA" w14:textId="77777777" w:rsidR="00545E8F" w:rsidRDefault="00545E8F" w:rsidP="00F8664D">
      <w:pPr>
        <w:spacing w:line="276" w:lineRule="auto"/>
        <w:jc w:val="both"/>
        <w:rPr>
          <w:rFonts w:ascii="Times New Roman" w:hAnsi="Times New Roman" w:cs="Times New Roman"/>
          <w:sz w:val="24"/>
          <w:szCs w:val="24"/>
        </w:rPr>
      </w:pPr>
    </w:p>
    <w:p w14:paraId="074533AF" w14:textId="35D530D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lastRenderedPageBreak/>
        <w:t xml:space="preserve">2.2   </w:t>
      </w:r>
      <w:r w:rsidRPr="00545E8F">
        <w:rPr>
          <w:rFonts w:ascii="Times New Roman" w:hAnsi="Times New Roman" w:cs="Times New Roman"/>
          <w:b/>
          <w:bCs/>
          <w:sz w:val="24"/>
          <w:szCs w:val="24"/>
        </w:rPr>
        <w:t>The Accounting Policies</w:t>
      </w:r>
    </w:p>
    <w:p w14:paraId="04DC6BE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 Measurement Basis</w:t>
      </w:r>
    </w:p>
    <w:p w14:paraId="1723967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under the historical cost convention (as modified by revaluation or fair value of certain assets and liabilities where applicable).</w:t>
      </w:r>
    </w:p>
    <w:p w14:paraId="4B512E00" w14:textId="40CF740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Effort </w:t>
      </w:r>
      <w:proofErr w:type="gramStart"/>
      <w:r w:rsidRPr="00545E8F">
        <w:rPr>
          <w:rFonts w:ascii="Times New Roman" w:hAnsi="Times New Roman" w:cs="Times New Roman"/>
          <w:sz w:val="24"/>
          <w:szCs w:val="24"/>
        </w:rPr>
        <w:t>were</w:t>
      </w:r>
      <w:proofErr w:type="gramEnd"/>
      <w:r w:rsidRPr="00545E8F">
        <w:rPr>
          <w:rFonts w:ascii="Times New Roman" w:hAnsi="Times New Roman" w:cs="Times New Roman"/>
          <w:sz w:val="24"/>
          <w:szCs w:val="24"/>
        </w:rPr>
        <w:t xml:space="preserve"> made to apply all the </w:t>
      </w:r>
      <w:r w:rsidR="00545E8F" w:rsidRPr="00545E8F">
        <w:rPr>
          <w:rFonts w:ascii="Times New Roman" w:hAnsi="Times New Roman" w:cs="Times New Roman"/>
          <w:sz w:val="24"/>
          <w:szCs w:val="24"/>
        </w:rPr>
        <w:t>provisions</w:t>
      </w:r>
      <w:r w:rsidRPr="00545E8F">
        <w:rPr>
          <w:rFonts w:ascii="Times New Roman" w:hAnsi="Times New Roman" w:cs="Times New Roman"/>
          <w:sz w:val="24"/>
          <w:szCs w:val="24"/>
        </w:rPr>
        <w:t xml:space="preserve"> of the IPSAS unless where it was indicated.</w:t>
      </w:r>
    </w:p>
    <w:p w14:paraId="38A49517" w14:textId="3F0806A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Other Accounting Policies</w:t>
      </w:r>
    </w:p>
    <w:p w14:paraId="1CF8743D"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Basis of Accounting</w:t>
      </w:r>
    </w:p>
    <w:p w14:paraId="02901CA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tastefully on Accrual Basis of Accounting.</w:t>
      </w:r>
    </w:p>
    <w:p w14:paraId="6DA914D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2.</w:t>
      </w:r>
      <w:r w:rsidRPr="00545E8F">
        <w:rPr>
          <w:rFonts w:ascii="Times New Roman" w:hAnsi="Times New Roman" w:cs="Times New Roman"/>
          <w:sz w:val="24"/>
          <w:szCs w:val="24"/>
        </w:rPr>
        <w:tab/>
        <w:t xml:space="preserve">Accounting Period </w:t>
      </w:r>
    </w:p>
    <w:p w14:paraId="0A91E0A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year (fiscal year) shall be from 1st January to 31st December in line with the National Treasury Circular Ref. OAGF/CAD/026/V.1/102 of 30th December, 2013.  Each accounting year is divided into 12 calendar months (periods) and shall be set up as such in the accounting system.</w:t>
      </w:r>
    </w:p>
    <w:p w14:paraId="1963BE4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3.</w:t>
      </w:r>
      <w:r w:rsidRPr="00545E8F">
        <w:rPr>
          <w:rFonts w:ascii="Times New Roman" w:hAnsi="Times New Roman" w:cs="Times New Roman"/>
          <w:sz w:val="24"/>
          <w:szCs w:val="24"/>
        </w:rPr>
        <w:tab/>
      </w:r>
      <w:r w:rsidRPr="00545E8F">
        <w:rPr>
          <w:rFonts w:ascii="Times New Roman" w:hAnsi="Times New Roman" w:cs="Times New Roman"/>
          <w:b/>
          <w:bCs/>
          <w:sz w:val="24"/>
          <w:szCs w:val="24"/>
        </w:rPr>
        <w:t>Reporting Currency</w:t>
      </w:r>
    </w:p>
    <w:p w14:paraId="2287ADA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GPFS shall be prepared in the Nigerian Naira.</w:t>
      </w:r>
    </w:p>
    <w:p w14:paraId="4A1E46F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4.</w:t>
      </w:r>
      <w:r w:rsidRPr="00545E8F">
        <w:rPr>
          <w:rFonts w:ascii="Times New Roman" w:hAnsi="Times New Roman" w:cs="Times New Roman"/>
          <w:sz w:val="24"/>
          <w:szCs w:val="24"/>
        </w:rPr>
        <w:tab/>
      </w:r>
      <w:r w:rsidRPr="00545E8F">
        <w:rPr>
          <w:rFonts w:ascii="Times New Roman" w:hAnsi="Times New Roman" w:cs="Times New Roman"/>
          <w:b/>
          <w:bCs/>
          <w:sz w:val="24"/>
          <w:szCs w:val="24"/>
        </w:rPr>
        <w:t>Consolidation Policy (applicable to controlling entities)</w:t>
      </w:r>
    </w:p>
    <w:p w14:paraId="06958DBC"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 xml:space="preserve">All of the 27 Local Government Councils of the </w:t>
      </w:r>
      <w:proofErr w:type="gramStart"/>
      <w:r w:rsidRPr="00545E8F">
        <w:rPr>
          <w:rFonts w:ascii="Times New Roman" w:hAnsi="Times New Roman" w:cs="Times New Roman"/>
          <w:sz w:val="24"/>
          <w:szCs w:val="24"/>
        </w:rPr>
        <w:t>State  shall</w:t>
      </w:r>
      <w:proofErr w:type="gramEnd"/>
      <w:r w:rsidRPr="00545E8F">
        <w:rPr>
          <w:rFonts w:ascii="Times New Roman" w:hAnsi="Times New Roman" w:cs="Times New Roman"/>
          <w:sz w:val="24"/>
          <w:szCs w:val="24"/>
        </w:rPr>
        <w:t xml:space="preserve">  submitting their annual financial statements to the Auditor General Local Government Councils for Consolidation.</w:t>
      </w:r>
    </w:p>
    <w:p w14:paraId="326B1F84"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The Consolidation of the financial statements have been carried </w:t>
      </w:r>
      <w:proofErr w:type="gramStart"/>
      <w:r w:rsidRPr="00545E8F">
        <w:rPr>
          <w:rFonts w:ascii="Times New Roman" w:hAnsi="Times New Roman" w:cs="Times New Roman"/>
          <w:sz w:val="24"/>
          <w:szCs w:val="24"/>
        </w:rPr>
        <w:t>out  in</w:t>
      </w:r>
      <w:proofErr w:type="gramEnd"/>
      <w:r w:rsidRPr="00545E8F">
        <w:rPr>
          <w:rFonts w:ascii="Times New Roman" w:hAnsi="Times New Roman" w:cs="Times New Roman"/>
          <w:sz w:val="24"/>
          <w:szCs w:val="24"/>
        </w:rPr>
        <w:t xml:space="preserve"> accordance with accrual basis International Public Sector Accounting Standards (IPSASs). FAAC Technical Sub-committee on IPSAS implementation guideline.</w:t>
      </w:r>
    </w:p>
    <w:p w14:paraId="52A4E9F6"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5.</w:t>
      </w:r>
      <w:r w:rsidRPr="00545E8F">
        <w:rPr>
          <w:rFonts w:ascii="Times New Roman" w:hAnsi="Times New Roman" w:cs="Times New Roman"/>
          <w:sz w:val="24"/>
          <w:szCs w:val="24"/>
        </w:rPr>
        <w:tab/>
      </w:r>
      <w:r w:rsidRPr="00545E8F">
        <w:rPr>
          <w:rFonts w:ascii="Times New Roman" w:hAnsi="Times New Roman" w:cs="Times New Roman"/>
          <w:b/>
          <w:bCs/>
          <w:sz w:val="24"/>
          <w:szCs w:val="24"/>
        </w:rPr>
        <w:t>Comparative Information</w:t>
      </w:r>
    </w:p>
    <w:p w14:paraId="59A599B7" w14:textId="31F421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shall disclose all numerical information relating to current </w:t>
      </w:r>
      <w:proofErr w:type="gramStart"/>
      <w:r w:rsidRPr="00545E8F">
        <w:rPr>
          <w:rFonts w:ascii="Times New Roman" w:hAnsi="Times New Roman" w:cs="Times New Roman"/>
          <w:sz w:val="24"/>
          <w:szCs w:val="24"/>
        </w:rPr>
        <w:t>and  previous</w:t>
      </w:r>
      <w:proofErr w:type="gramEnd"/>
      <w:r w:rsidRPr="00545E8F">
        <w:rPr>
          <w:rFonts w:ascii="Times New Roman" w:hAnsi="Times New Roman" w:cs="Times New Roman"/>
          <w:sz w:val="24"/>
          <w:szCs w:val="24"/>
        </w:rPr>
        <w:t xml:space="preserve"> period (2024 and 2023) simultaneous for comparative purposes.</w:t>
      </w:r>
    </w:p>
    <w:p w14:paraId="4106E98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6.</w:t>
      </w:r>
      <w:r w:rsidRPr="00545E8F">
        <w:rPr>
          <w:rFonts w:ascii="Times New Roman" w:hAnsi="Times New Roman" w:cs="Times New Roman"/>
          <w:sz w:val="24"/>
          <w:szCs w:val="24"/>
        </w:rPr>
        <w:tab/>
      </w:r>
      <w:r w:rsidRPr="00545E8F">
        <w:rPr>
          <w:rFonts w:ascii="Times New Roman" w:hAnsi="Times New Roman" w:cs="Times New Roman"/>
          <w:b/>
          <w:bCs/>
          <w:sz w:val="24"/>
          <w:szCs w:val="24"/>
        </w:rPr>
        <w:t>Completeness</w:t>
      </w:r>
    </w:p>
    <w:p w14:paraId="413AD1E4" w14:textId="0F2B5ABF"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information </w:t>
      </w:r>
      <w:proofErr w:type="gramStart"/>
      <w:r w:rsidRPr="00545E8F">
        <w:rPr>
          <w:rFonts w:ascii="Times New Roman" w:hAnsi="Times New Roman" w:cs="Times New Roman"/>
          <w:sz w:val="24"/>
          <w:szCs w:val="24"/>
        </w:rPr>
        <w:t>have</w:t>
      </w:r>
      <w:proofErr w:type="gramEnd"/>
      <w:r w:rsidRPr="00545E8F">
        <w:rPr>
          <w:rFonts w:ascii="Times New Roman" w:hAnsi="Times New Roman" w:cs="Times New Roman"/>
          <w:sz w:val="24"/>
          <w:szCs w:val="24"/>
        </w:rPr>
        <w:t xml:space="preserve"> satisfy the recognition criteria and completed within the bounds of materiality and cost-benefit considerations.</w:t>
      </w:r>
    </w:p>
    <w:p w14:paraId="0892E17D" w14:textId="77777777" w:rsidR="008969BF" w:rsidRPr="00545E8F" w:rsidRDefault="008969BF" w:rsidP="00F8664D">
      <w:pPr>
        <w:spacing w:line="276" w:lineRule="auto"/>
        <w:jc w:val="both"/>
        <w:rPr>
          <w:rFonts w:ascii="Times New Roman" w:hAnsi="Times New Roman" w:cs="Times New Roman"/>
          <w:sz w:val="24"/>
          <w:szCs w:val="24"/>
        </w:rPr>
      </w:pPr>
    </w:p>
    <w:p w14:paraId="6E5E7FD3" w14:textId="77777777" w:rsidR="00934F57" w:rsidRDefault="00934F57" w:rsidP="00F8664D">
      <w:pPr>
        <w:spacing w:line="276" w:lineRule="auto"/>
        <w:jc w:val="both"/>
        <w:rPr>
          <w:rFonts w:ascii="Times New Roman" w:hAnsi="Times New Roman" w:cs="Times New Roman"/>
          <w:sz w:val="24"/>
          <w:szCs w:val="24"/>
        </w:rPr>
      </w:pPr>
    </w:p>
    <w:p w14:paraId="477DF849" w14:textId="77777777" w:rsidR="00934F57" w:rsidRDefault="00934F57" w:rsidP="00F8664D">
      <w:pPr>
        <w:spacing w:line="276" w:lineRule="auto"/>
        <w:jc w:val="both"/>
        <w:rPr>
          <w:rFonts w:ascii="Times New Roman" w:hAnsi="Times New Roman" w:cs="Times New Roman"/>
          <w:sz w:val="24"/>
          <w:szCs w:val="24"/>
        </w:rPr>
      </w:pPr>
    </w:p>
    <w:p w14:paraId="05E11ABB" w14:textId="3A5AC68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7.</w:t>
      </w:r>
      <w:r w:rsidRPr="00545E8F">
        <w:rPr>
          <w:rFonts w:ascii="Times New Roman" w:hAnsi="Times New Roman" w:cs="Times New Roman"/>
          <w:sz w:val="24"/>
          <w:szCs w:val="24"/>
        </w:rPr>
        <w:tab/>
      </w:r>
      <w:r w:rsidRPr="00545E8F">
        <w:rPr>
          <w:rFonts w:ascii="Times New Roman" w:hAnsi="Times New Roman" w:cs="Times New Roman"/>
          <w:b/>
          <w:bCs/>
          <w:sz w:val="24"/>
          <w:szCs w:val="24"/>
        </w:rPr>
        <w:t>Prudence</w:t>
      </w:r>
    </w:p>
    <w:p w14:paraId="3966E025" w14:textId="215E7054"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There is a great inclusion of a degree of caution in the exercise of the judgments needed in making the estimates required under conditions of uncertainty, such that assets or revenue are not overstated while liabilities or expenses are not understated in the General-Purpose Financial Statements information.</w:t>
      </w:r>
    </w:p>
    <w:p w14:paraId="3AB1B09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8.</w:t>
      </w:r>
      <w:r w:rsidRPr="00545E8F">
        <w:rPr>
          <w:rFonts w:ascii="Times New Roman" w:hAnsi="Times New Roman" w:cs="Times New Roman"/>
          <w:sz w:val="24"/>
          <w:szCs w:val="24"/>
        </w:rPr>
        <w:tab/>
      </w:r>
      <w:r w:rsidRPr="00545E8F">
        <w:rPr>
          <w:rFonts w:ascii="Times New Roman" w:hAnsi="Times New Roman" w:cs="Times New Roman"/>
          <w:b/>
          <w:bCs/>
          <w:sz w:val="24"/>
          <w:szCs w:val="24"/>
        </w:rPr>
        <w:t>Neutrality</w:t>
      </w:r>
    </w:p>
    <w:p w14:paraId="5EDC7095" w14:textId="6D8D1E16"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Information on this </w:t>
      </w:r>
      <w:r w:rsidR="00DB624D" w:rsidRPr="00545E8F">
        <w:rPr>
          <w:rFonts w:ascii="Times New Roman" w:hAnsi="Times New Roman" w:cs="Times New Roman"/>
          <w:sz w:val="24"/>
          <w:szCs w:val="24"/>
        </w:rPr>
        <w:t>General</w:t>
      </w:r>
      <w:r w:rsidR="00DB624D">
        <w:rPr>
          <w:rFonts w:ascii="Times New Roman" w:hAnsi="Times New Roman" w:cs="Times New Roman"/>
          <w:sz w:val="24"/>
          <w:szCs w:val="24"/>
        </w:rPr>
        <w:t>-Purpose</w:t>
      </w:r>
      <w:r w:rsidRPr="00545E8F">
        <w:rPr>
          <w:rFonts w:ascii="Times New Roman" w:hAnsi="Times New Roman" w:cs="Times New Roman"/>
          <w:sz w:val="24"/>
          <w:szCs w:val="24"/>
        </w:rPr>
        <w:t xml:space="preserve"> Financial Statements is neutral and free from any bias or presented in a manner designed to influence decision or judgment.</w:t>
      </w:r>
    </w:p>
    <w:p w14:paraId="49D7DE0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9.</w:t>
      </w:r>
      <w:r w:rsidRPr="00545E8F">
        <w:rPr>
          <w:rFonts w:ascii="Times New Roman" w:hAnsi="Times New Roman" w:cs="Times New Roman"/>
          <w:sz w:val="24"/>
          <w:szCs w:val="24"/>
        </w:rPr>
        <w:tab/>
      </w:r>
      <w:r w:rsidRPr="00545E8F">
        <w:rPr>
          <w:rFonts w:ascii="Times New Roman" w:hAnsi="Times New Roman" w:cs="Times New Roman"/>
          <w:b/>
          <w:bCs/>
          <w:sz w:val="24"/>
          <w:szCs w:val="24"/>
        </w:rPr>
        <w:t>Verifiability</w:t>
      </w:r>
    </w:p>
    <w:p w14:paraId="1180567D" w14:textId="27A8F35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are presented in the way that assures all the users, that the Financial Statements is based on supporting evidence in a way that it faithfully represents the substance of economic and other phenomena that it purports to represent. </w:t>
      </w:r>
    </w:p>
    <w:p w14:paraId="0382A1C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10.</w:t>
      </w:r>
      <w:r w:rsidRPr="00545E8F">
        <w:rPr>
          <w:rFonts w:ascii="Times New Roman" w:hAnsi="Times New Roman" w:cs="Times New Roman"/>
          <w:sz w:val="24"/>
          <w:szCs w:val="24"/>
        </w:rPr>
        <w:tab/>
      </w:r>
      <w:r w:rsidRPr="00545E8F">
        <w:rPr>
          <w:rFonts w:ascii="Times New Roman" w:hAnsi="Times New Roman" w:cs="Times New Roman"/>
          <w:b/>
          <w:bCs/>
          <w:sz w:val="24"/>
          <w:szCs w:val="24"/>
        </w:rPr>
        <w:t>Understandability</w:t>
      </w:r>
    </w:p>
    <w:p w14:paraId="3CB9AA49" w14:textId="78E2C6B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w:t>
      </w:r>
      <w:proofErr w:type="gramStart"/>
      <w:r w:rsidRPr="00545E8F">
        <w:rPr>
          <w:rFonts w:ascii="Times New Roman" w:hAnsi="Times New Roman" w:cs="Times New Roman"/>
          <w:sz w:val="24"/>
          <w:szCs w:val="24"/>
        </w:rPr>
        <w:t>are</w:t>
      </w:r>
      <w:proofErr w:type="gramEnd"/>
      <w:r w:rsidRPr="00545E8F">
        <w:rPr>
          <w:rFonts w:ascii="Times New Roman" w:hAnsi="Times New Roman" w:cs="Times New Roman"/>
          <w:sz w:val="24"/>
          <w:szCs w:val="24"/>
        </w:rPr>
        <w:t xml:space="preserve"> presented in a manner that facilitate expert and non-expert users to comprehend its meaning. For better Understandability, the report is enhanced where information is classified, </w:t>
      </w:r>
      <w:r w:rsidR="001364A9" w:rsidRPr="00545E8F">
        <w:rPr>
          <w:rFonts w:ascii="Times New Roman" w:hAnsi="Times New Roman" w:cs="Times New Roman"/>
          <w:sz w:val="24"/>
          <w:szCs w:val="24"/>
        </w:rPr>
        <w:t>characterized</w:t>
      </w:r>
      <w:r w:rsidRPr="00545E8F">
        <w:rPr>
          <w:rFonts w:ascii="Times New Roman" w:hAnsi="Times New Roman" w:cs="Times New Roman"/>
          <w:sz w:val="24"/>
          <w:szCs w:val="24"/>
        </w:rPr>
        <w:t xml:space="preserve"> and presented clearly and concisely.</w:t>
      </w:r>
    </w:p>
    <w:p w14:paraId="39C696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w:t>
      </w:r>
      <w:r w:rsidRPr="00545E8F">
        <w:rPr>
          <w:rFonts w:ascii="Times New Roman" w:hAnsi="Times New Roman" w:cs="Times New Roman"/>
          <w:sz w:val="24"/>
          <w:szCs w:val="24"/>
        </w:rPr>
        <w:tab/>
      </w:r>
      <w:r w:rsidRPr="00545E8F">
        <w:rPr>
          <w:rFonts w:ascii="Times New Roman" w:hAnsi="Times New Roman" w:cs="Times New Roman"/>
          <w:b/>
          <w:bCs/>
          <w:sz w:val="24"/>
          <w:szCs w:val="24"/>
        </w:rPr>
        <w:t>Budget Figures</w:t>
      </w:r>
    </w:p>
    <w:p w14:paraId="5E780901" w14:textId="76FD4C5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Governments have been prepared using the Accrual Basis in accordance with the requirements of International Public Sector Accounting Standards (IPSAS) and in accordance with the provision of 2024 Appropriation Laws of Jigawa State, the revised Financial Regulations, Finance (Control and Management) Act of 1958 as amended, and the 1999 Constitution of the Federal Republic of Nigeria as amended. </w:t>
      </w:r>
    </w:p>
    <w:p w14:paraId="666108FB" w14:textId="4E954AC2"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Framework of the Jigawa State Local Government Councils focusses on reporting the budgetary activities of the government for the financial year as laid down in the Appropriation Law.</w:t>
      </w:r>
    </w:p>
    <w:p w14:paraId="674F2D1B" w14:textId="289E726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12.</w:t>
      </w:r>
      <w:r w:rsidRPr="00545E8F">
        <w:rPr>
          <w:rFonts w:ascii="Times New Roman" w:hAnsi="Times New Roman" w:cs="Times New Roman"/>
          <w:sz w:val="24"/>
          <w:szCs w:val="24"/>
        </w:rPr>
        <w:tab/>
      </w:r>
      <w:r w:rsidRPr="00545E8F">
        <w:rPr>
          <w:rFonts w:ascii="Times New Roman" w:hAnsi="Times New Roman" w:cs="Times New Roman"/>
          <w:b/>
          <w:bCs/>
          <w:sz w:val="24"/>
          <w:szCs w:val="24"/>
        </w:rPr>
        <w:t xml:space="preserve">Revenue: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Transactions Fees, taxes and Fines. </w:t>
      </w:r>
    </w:p>
    <w:p w14:paraId="6382512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Revenue from non-exchange transactions such as fees, taxes and fines should be recognized when the event (specify event) occurs and the asset recognition criteria are met. </w:t>
      </w:r>
    </w:p>
    <w:p w14:paraId="19703809" w14:textId="356438F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Other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revenues are recognized when it is probable that the future economic benefits or service potential associated with the asset will flow to the Entity and the fair value of the asset can be measured reliably. </w:t>
      </w:r>
    </w:p>
    <w:p w14:paraId="52CD4FC1" w14:textId="77777777" w:rsidR="00934F57" w:rsidRDefault="00934F57" w:rsidP="00F8664D">
      <w:pPr>
        <w:spacing w:line="276" w:lineRule="auto"/>
        <w:jc w:val="both"/>
        <w:rPr>
          <w:rFonts w:ascii="Times New Roman" w:hAnsi="Times New Roman" w:cs="Times New Roman"/>
          <w:b/>
          <w:bCs/>
          <w:sz w:val="24"/>
          <w:szCs w:val="24"/>
        </w:rPr>
      </w:pPr>
    </w:p>
    <w:p w14:paraId="334D43E2" w14:textId="77777777" w:rsidR="00934F57" w:rsidRDefault="00934F57" w:rsidP="00F8664D">
      <w:pPr>
        <w:spacing w:line="276" w:lineRule="auto"/>
        <w:jc w:val="both"/>
        <w:rPr>
          <w:rFonts w:ascii="Times New Roman" w:hAnsi="Times New Roman" w:cs="Times New Roman"/>
          <w:b/>
          <w:bCs/>
          <w:sz w:val="24"/>
          <w:szCs w:val="24"/>
        </w:rPr>
      </w:pPr>
    </w:p>
    <w:p w14:paraId="01227635" w14:textId="29797369"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lastRenderedPageBreak/>
        <w:t>Statutory Allocation</w:t>
      </w:r>
    </w:p>
    <w:p w14:paraId="38707614" w14:textId="2185B43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Statutory allocation is income received from the revenue allocation system wherein funds are allocated to each federating unit from the Federation Account based on certain pre-determined criteria. Statutory allocation is measured at fair value and recognized at point of receipt.</w:t>
      </w:r>
    </w:p>
    <w:p w14:paraId="4D6EA8C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13.</w:t>
      </w:r>
      <w:r w:rsidRPr="00545E8F">
        <w:rPr>
          <w:rFonts w:ascii="Times New Roman" w:hAnsi="Times New Roman" w:cs="Times New Roman"/>
          <w:b/>
          <w:bCs/>
          <w:sz w:val="24"/>
          <w:szCs w:val="24"/>
        </w:rPr>
        <w:tab/>
        <w:t xml:space="preserve">Transfers from other government entities. </w:t>
      </w:r>
    </w:p>
    <w:p w14:paraId="294E512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Revenues from non-exchange transactions with other government entities are measured at fair value and recognized on receipt of the asset (cash, goods, services and property) if it is free from conditions and it is probable that the economic benefits or service potential related to the asset will flow to the entity and can be measured reliably.</w:t>
      </w:r>
    </w:p>
    <w:p w14:paraId="3C8D3EF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Expenses:</w:t>
      </w:r>
    </w:p>
    <w:p w14:paraId="11B5106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All expenses should be reported on an accrual basis, i.e. all expenses are to be recognized in the period they are incurred or when the related services are enjoyed, irrespective of when the payment is made.</w:t>
      </w:r>
    </w:p>
    <w:p w14:paraId="6A42F943"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14.</w:t>
      </w:r>
      <w:r w:rsidRPr="00545E8F">
        <w:rPr>
          <w:rFonts w:ascii="Times New Roman" w:hAnsi="Times New Roman" w:cs="Times New Roman"/>
          <w:b/>
          <w:bCs/>
          <w:sz w:val="24"/>
          <w:szCs w:val="24"/>
        </w:rPr>
        <w:tab/>
        <w:t>Employee Benefits/Pension obligations:</w:t>
      </w:r>
    </w:p>
    <w:p w14:paraId="266161D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Under the Defined Benefits Scheme: </w:t>
      </w:r>
    </w:p>
    <w:p w14:paraId="00F47C6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Provision should be made, where applicable, using an actuarial valuation for retirement gratuities. The actuarial valuation determines the extent of anticipated entitlements payable under employment contracts and brings to account a liability using the present value measurement basis, which discounts expected future cash outflows.</w:t>
      </w:r>
    </w:p>
    <w:p w14:paraId="3E54834F"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15.</w:t>
      </w:r>
      <w:r w:rsidRPr="00545E8F">
        <w:rPr>
          <w:rFonts w:ascii="Times New Roman" w:hAnsi="Times New Roman" w:cs="Times New Roman"/>
          <w:b/>
          <w:bCs/>
          <w:sz w:val="24"/>
          <w:szCs w:val="24"/>
        </w:rPr>
        <w:tab/>
        <w:t>Statement of Cash flow</w:t>
      </w:r>
    </w:p>
    <w:p w14:paraId="4B3E410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This statement shall be prepared using the direct method in accordance with the format provided in the GPFS.</w:t>
      </w:r>
    </w:p>
    <w:p w14:paraId="2E51418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Cash flow statement shall consist of three (3) sections:</w:t>
      </w:r>
    </w:p>
    <w:p w14:paraId="2E878F00" w14:textId="77777777" w:rsidR="00934F57"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Operating activities – These include cash received from all income sources of the Government and record the cash payments made for the supply of goods and services.</w:t>
      </w:r>
    </w:p>
    <w:p w14:paraId="7B27FA6E" w14:textId="5ED1B7D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Investing activities - These are the activities relating to the acquisition and disposal of Non-Current Assets.</w:t>
      </w:r>
    </w:p>
    <w:p w14:paraId="5F0125E6" w14:textId="6D0BF91A"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Financing activities - These comprise the change in Equity and Debt capital structure of the PSE.</w:t>
      </w:r>
    </w:p>
    <w:p w14:paraId="30D11532"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16.</w:t>
      </w:r>
      <w:r w:rsidRPr="00545E8F">
        <w:rPr>
          <w:rFonts w:ascii="Times New Roman" w:hAnsi="Times New Roman" w:cs="Times New Roman"/>
          <w:b/>
          <w:bCs/>
          <w:sz w:val="24"/>
          <w:szCs w:val="24"/>
        </w:rPr>
        <w:tab/>
        <w:t>Cash &amp; Cash Equivalent</w:t>
      </w:r>
    </w:p>
    <w:p w14:paraId="6026F58E" w14:textId="715B9E1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Cash and Cash Equivalent means cash balances on hand, held in bank accounts, demand deposits and other highly liquid investments with an original maturity of 3 months or less in </w:t>
      </w:r>
      <w:r w:rsidRPr="00545E8F">
        <w:rPr>
          <w:rFonts w:ascii="Times New Roman" w:hAnsi="Times New Roman" w:cs="Times New Roman"/>
          <w:sz w:val="24"/>
          <w:szCs w:val="24"/>
        </w:rPr>
        <w:lastRenderedPageBreak/>
        <w:t>which the Entity invests as part of its day-to-day cash management and which are readily convertible to known amounts of cash and are subject to insignificant risk of changes in value.</w:t>
      </w:r>
    </w:p>
    <w:p w14:paraId="165BC4B1" w14:textId="62CCFCD2"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Cash &amp; Cash Equivalent is reported under Current Assets in the Statement of Financial Position</w:t>
      </w:r>
    </w:p>
    <w:p w14:paraId="5995774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17.</w:t>
      </w:r>
      <w:r w:rsidRPr="00545E8F">
        <w:rPr>
          <w:rFonts w:ascii="Times New Roman" w:hAnsi="Times New Roman" w:cs="Times New Roman"/>
          <w:b/>
          <w:bCs/>
          <w:sz w:val="24"/>
          <w:szCs w:val="24"/>
        </w:rPr>
        <w:tab/>
        <w:t>Accounts Receivable:</w:t>
      </w:r>
    </w:p>
    <w:p w14:paraId="560E4C8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Receivables from Exchange Transactions</w:t>
      </w:r>
    </w:p>
    <w:p w14:paraId="7D9B31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Receivables from exchange transactions are recognized initially at fair value and subsequently measured at amortized cost using the effective interest method, less provision for impairment.</w:t>
      </w:r>
    </w:p>
    <w:p w14:paraId="45BCA23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A provision for impairment of receivables is established when there is objective evidence that the Entity will not be able to collect all amounts due according to the original terms of the receivables. </w:t>
      </w:r>
    </w:p>
    <w:p w14:paraId="70A8D71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18.</w:t>
      </w:r>
      <w:r w:rsidRPr="00545E8F">
        <w:rPr>
          <w:rFonts w:ascii="Times New Roman" w:hAnsi="Times New Roman" w:cs="Times New Roman"/>
          <w:b/>
          <w:bCs/>
          <w:sz w:val="24"/>
          <w:szCs w:val="24"/>
        </w:rPr>
        <w:tab/>
        <w:t>Prepayments</w:t>
      </w:r>
    </w:p>
    <w:p w14:paraId="6E912E55" w14:textId="277F69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Prepaid expenses are amounts paid in advance of receipt of goods or services. </w:t>
      </w:r>
    </w:p>
    <w:p w14:paraId="16176234" w14:textId="5DEF563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They can represent payments made early in the year for benefits to be received over the latter part of the year, or payments made in one year for benefits to be received in subsequent years.</w:t>
      </w:r>
    </w:p>
    <w:p w14:paraId="38A5A0EA" w14:textId="36320C8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Prepayments for which the benefits are to be derived in the following 12 months should be classified as Current Assets.  Where the benefits are expected to accrue beyond the next 12 months, it should be accounted for as a Long-Term Prepayment and classified as Non-Current Assets.</w:t>
      </w:r>
    </w:p>
    <w:p w14:paraId="451AF08C"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19.</w:t>
      </w:r>
      <w:r w:rsidRPr="00545E8F">
        <w:rPr>
          <w:rFonts w:ascii="Times New Roman" w:hAnsi="Times New Roman" w:cs="Times New Roman"/>
          <w:b/>
          <w:bCs/>
          <w:sz w:val="24"/>
          <w:szCs w:val="24"/>
        </w:rPr>
        <w:tab/>
        <w:t>Property, Plant &amp; Equipment (PPE)</w:t>
      </w:r>
    </w:p>
    <w:p w14:paraId="358B05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All PPE are stated at historical cost less accumulated depreciation and any impairment losses. Historical cost includes expenditure that is directly attributable to the acquisition of the assets.</w:t>
      </w:r>
    </w:p>
    <w:p w14:paraId="316E16A2" w14:textId="6A2BF89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Where an asset is acquired in a non-exchange transaction for nil or nominal consideration the asset is initially </w:t>
      </w:r>
      <w:r w:rsidR="00934F57" w:rsidRPr="00545E8F">
        <w:rPr>
          <w:rFonts w:ascii="Times New Roman" w:hAnsi="Times New Roman" w:cs="Times New Roman"/>
          <w:sz w:val="24"/>
          <w:szCs w:val="24"/>
        </w:rPr>
        <w:t>recognized</w:t>
      </w:r>
      <w:r w:rsidRPr="00545E8F">
        <w:rPr>
          <w:rFonts w:ascii="Times New Roman" w:hAnsi="Times New Roman" w:cs="Times New Roman"/>
          <w:sz w:val="24"/>
          <w:szCs w:val="24"/>
        </w:rPr>
        <w:t xml:space="preserve"> at fair value, where fair value can be reliably determined, and as income systematically over the useful life of the PPE in the Statement of Financial Performance.</w:t>
      </w:r>
    </w:p>
    <w:p w14:paraId="676702A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The following shall constitute expenditure on PPE:</w:t>
      </w:r>
    </w:p>
    <w:p w14:paraId="75DE2E5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Amounts incurred on the purchase of such assets plus other relevant cost incidental to bringing the asset to working condition. Consumables are to be wholly expensed irrespective of their amounts.</w:t>
      </w:r>
    </w:p>
    <w:p w14:paraId="67A49FBD" w14:textId="1DBA8CA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Construction Cost- including materials, </w:t>
      </w:r>
      <w:proofErr w:type="spellStart"/>
      <w:r w:rsidR="00934F57">
        <w:rPr>
          <w:rFonts w:ascii="Times New Roman" w:hAnsi="Times New Roman" w:cs="Times New Roman"/>
          <w:sz w:val="24"/>
          <w:szCs w:val="24"/>
        </w:rPr>
        <w:t>l</w:t>
      </w:r>
      <w:r w:rsidRPr="00545E8F">
        <w:rPr>
          <w:rFonts w:ascii="Times New Roman" w:hAnsi="Times New Roman" w:cs="Times New Roman"/>
          <w:sz w:val="24"/>
          <w:szCs w:val="24"/>
        </w:rPr>
        <w:t>abour</w:t>
      </w:r>
      <w:proofErr w:type="spellEnd"/>
      <w:r w:rsidRPr="00545E8F">
        <w:rPr>
          <w:rFonts w:ascii="Times New Roman" w:hAnsi="Times New Roman" w:cs="Times New Roman"/>
          <w:sz w:val="24"/>
          <w:szCs w:val="24"/>
        </w:rPr>
        <w:t xml:space="preserve"> and overheads.</w:t>
      </w:r>
    </w:p>
    <w:p w14:paraId="1154D725" w14:textId="2EE4DD99"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iii.</w:t>
      </w:r>
      <w:r w:rsidRPr="00545E8F">
        <w:rPr>
          <w:rFonts w:ascii="Times New Roman" w:hAnsi="Times New Roman" w:cs="Times New Roman"/>
          <w:sz w:val="24"/>
          <w:szCs w:val="24"/>
        </w:rPr>
        <w:tab/>
        <w:t xml:space="preserve">Improvements to existing PPE, which significantly enhance their useful life.   </w:t>
      </w:r>
      <w:r w:rsidRPr="00545E8F">
        <w:rPr>
          <w:rFonts w:ascii="Times New Roman" w:hAnsi="Times New Roman" w:cs="Times New Roman"/>
          <w:sz w:val="24"/>
          <w:szCs w:val="24"/>
        </w:rPr>
        <w:tab/>
      </w:r>
      <w:r w:rsidRPr="00545E8F">
        <w:rPr>
          <w:rFonts w:ascii="Times New Roman" w:hAnsi="Times New Roman" w:cs="Times New Roman"/>
          <w:sz w:val="24"/>
          <w:szCs w:val="24"/>
        </w:rPr>
        <w:tab/>
      </w:r>
    </w:p>
    <w:p w14:paraId="2085D012" w14:textId="4A17E263"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Cost:</w:t>
      </w:r>
    </w:p>
    <w:p w14:paraId="488C05C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cost of an item of PPE shall comprise: its purchase price, including import and non-recurring costs and any directly attributable costs of bringing the asset to its location and working condition for its intended use. Any trade discounts and rebates are deducted in arriving at the purchase price.</w:t>
      </w:r>
    </w:p>
    <w:p w14:paraId="3EC56DF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PPE shall be stated at cost or at their professional valuation less accumulated depreciation and impairment.</w:t>
      </w:r>
    </w:p>
    <w:p w14:paraId="3718870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 amount recorded for a PPE shall include all costs directly related to its acquisition including expenditures incurred to place the asset in usable condition for the service. Accordingly, the cost of the assets shall include acquisition or construction costs, custom duties, transportation charges, professional fees and installation costs. Cash discounts shall be netted against the cost of the assets.</w:t>
      </w:r>
    </w:p>
    <w:p w14:paraId="3D046F74" w14:textId="7D5661F9"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Depreciation on assets is charged on a straight-line basis over the useful life of the asset.</w:t>
      </w:r>
    </w:p>
    <w:p w14:paraId="707AEF12" w14:textId="36F9874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Depreciation is charged at rates calculated to allocate the cost or valuation of the asset less any estimated residual value over its remaining useful life:</w:t>
      </w:r>
    </w:p>
    <w:p w14:paraId="253F3E6E" w14:textId="446BF9AE"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Jigawa State Local Government’s Class of PPE and the relevant useful lives and depreciation rates are:</w:t>
      </w:r>
    </w:p>
    <w:p w14:paraId="064ADA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Buildings</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 50years</w:t>
      </w:r>
    </w:p>
    <w:p w14:paraId="00A2BBD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Land</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=50 years</w:t>
      </w:r>
    </w:p>
    <w:p w14:paraId="7E0DCA2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Plant &amp; Machinery</w:t>
      </w:r>
      <w:r w:rsidRPr="00545E8F">
        <w:rPr>
          <w:rFonts w:ascii="Times New Roman" w:hAnsi="Times New Roman" w:cs="Times New Roman"/>
          <w:sz w:val="24"/>
          <w:szCs w:val="24"/>
        </w:rPr>
        <w:tab/>
      </w:r>
      <w:r w:rsidRPr="00545E8F">
        <w:rPr>
          <w:rFonts w:ascii="Times New Roman" w:hAnsi="Times New Roman" w:cs="Times New Roman"/>
          <w:sz w:val="24"/>
          <w:szCs w:val="24"/>
        </w:rPr>
        <w:tab/>
        <w:t>6.67% = 15years</w:t>
      </w:r>
    </w:p>
    <w:p w14:paraId="72101A58" w14:textId="223D69C1" w:rsidR="008969BF" w:rsidRPr="00545E8F" w:rsidRDefault="0097246D"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Furniture &amp; Fittings</w:t>
      </w:r>
      <w:r w:rsidRPr="00545E8F">
        <w:rPr>
          <w:rFonts w:ascii="Times New Roman" w:hAnsi="Times New Roman" w:cs="Times New Roman"/>
          <w:sz w:val="24"/>
          <w:szCs w:val="24"/>
        </w:rPr>
        <w:tab/>
      </w:r>
      <w:r w:rsidR="008969BF" w:rsidRPr="00545E8F">
        <w:rPr>
          <w:rFonts w:ascii="Times New Roman" w:hAnsi="Times New Roman" w:cs="Times New Roman"/>
          <w:sz w:val="24"/>
          <w:szCs w:val="24"/>
        </w:rPr>
        <w:t>10%=10 years</w:t>
      </w:r>
    </w:p>
    <w:p w14:paraId="6ECF9CEC" w14:textId="1DC85CE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Motor Vehicles</w:t>
      </w:r>
      <w:r w:rsidRPr="00545E8F">
        <w:rPr>
          <w:rFonts w:ascii="Times New Roman" w:hAnsi="Times New Roman" w:cs="Times New Roman"/>
          <w:sz w:val="24"/>
          <w:szCs w:val="24"/>
        </w:rPr>
        <w:tab/>
      </w:r>
      <w:r w:rsidRPr="00545E8F">
        <w:rPr>
          <w:rFonts w:ascii="Times New Roman" w:hAnsi="Times New Roman" w:cs="Times New Roman"/>
          <w:sz w:val="24"/>
          <w:szCs w:val="24"/>
        </w:rPr>
        <w:tab/>
        <w:t>20 = 5 years</w:t>
      </w:r>
    </w:p>
    <w:p w14:paraId="2DC40CC9"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Office Equipment</w:t>
      </w:r>
      <w:r w:rsidRPr="00545E8F">
        <w:rPr>
          <w:rFonts w:ascii="Times New Roman" w:hAnsi="Times New Roman" w:cs="Times New Roman"/>
          <w:sz w:val="24"/>
          <w:szCs w:val="24"/>
        </w:rPr>
        <w:tab/>
      </w:r>
      <w:r w:rsidRPr="00545E8F">
        <w:rPr>
          <w:rFonts w:ascii="Times New Roman" w:hAnsi="Times New Roman" w:cs="Times New Roman"/>
          <w:sz w:val="24"/>
          <w:szCs w:val="24"/>
        </w:rPr>
        <w:tab/>
        <w:t>20%= 5 years</w:t>
      </w:r>
    </w:p>
    <w:p w14:paraId="552B4905" w14:textId="77777777" w:rsidR="008969BF" w:rsidRPr="00545E8F" w:rsidRDefault="008969BF" w:rsidP="00F8664D">
      <w:pPr>
        <w:spacing w:line="276" w:lineRule="auto"/>
        <w:jc w:val="both"/>
        <w:rPr>
          <w:rFonts w:ascii="Times New Roman" w:hAnsi="Times New Roman" w:cs="Times New Roman"/>
          <w:sz w:val="24"/>
          <w:szCs w:val="24"/>
        </w:rPr>
      </w:pPr>
    </w:p>
    <w:p w14:paraId="789D22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assets’ residual values and useful lives are reviewed, and adjusted prospectively, if appropriate, at the end of each reporting period.</w:t>
      </w:r>
    </w:p>
    <w:p w14:paraId="3F2F3EE2" w14:textId="2048DE83" w:rsidR="008969BF" w:rsidRPr="00545E8F" w:rsidRDefault="008969BF" w:rsidP="00F8664D">
      <w:pPr>
        <w:spacing w:line="276" w:lineRule="auto"/>
        <w:jc w:val="both"/>
        <w:rPr>
          <w:rFonts w:ascii="Times New Roman" w:hAnsi="Times New Roman" w:cs="Times New Roman"/>
          <w:b/>
          <w:bCs/>
          <w:sz w:val="24"/>
          <w:szCs w:val="24"/>
        </w:rPr>
      </w:pPr>
      <w:proofErr w:type="gramStart"/>
      <w:r w:rsidRPr="00545E8F">
        <w:rPr>
          <w:rFonts w:ascii="Times New Roman" w:hAnsi="Times New Roman" w:cs="Times New Roman"/>
          <w:b/>
          <w:bCs/>
          <w:sz w:val="24"/>
          <w:szCs w:val="24"/>
        </w:rPr>
        <w:t>2</w:t>
      </w:r>
      <w:r w:rsidR="006148D7">
        <w:rPr>
          <w:rFonts w:ascii="Times New Roman" w:hAnsi="Times New Roman" w:cs="Times New Roman"/>
          <w:b/>
          <w:bCs/>
          <w:sz w:val="24"/>
          <w:szCs w:val="24"/>
        </w:rPr>
        <w:t xml:space="preserve"> </w:t>
      </w:r>
      <w:r w:rsidRPr="00545E8F">
        <w:rPr>
          <w:rFonts w:ascii="Times New Roman" w:hAnsi="Times New Roman" w:cs="Times New Roman"/>
          <w:b/>
          <w:bCs/>
          <w:sz w:val="24"/>
          <w:szCs w:val="24"/>
        </w:rPr>
        <w:t>0.</w:t>
      </w:r>
      <w:proofErr w:type="gramEnd"/>
      <w:r w:rsidRPr="00545E8F">
        <w:rPr>
          <w:rFonts w:ascii="Times New Roman" w:hAnsi="Times New Roman" w:cs="Times New Roman"/>
          <w:b/>
          <w:bCs/>
          <w:sz w:val="24"/>
          <w:szCs w:val="24"/>
        </w:rPr>
        <w:tab/>
        <w:t>Deposits</w:t>
      </w:r>
    </w:p>
    <w:p w14:paraId="128C43F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Deposits consist of resource held in custody on behalf of third parties. </w:t>
      </w:r>
    </w:p>
    <w:p w14:paraId="2A170DE1"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Deposits can also represent payments received in advance for goods/services to be offered later.</w:t>
      </w:r>
    </w:p>
    <w:p w14:paraId="7057916D" w14:textId="38AF6E7E"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c.</w:t>
      </w:r>
      <w:r w:rsidRPr="00545E8F">
        <w:rPr>
          <w:rFonts w:ascii="Times New Roman" w:hAnsi="Times New Roman" w:cs="Times New Roman"/>
          <w:sz w:val="24"/>
          <w:szCs w:val="24"/>
        </w:rPr>
        <w:tab/>
        <w:t>Deposits, for which the services are to be offered within 12 months from the end of the reporting period, shall be classified as Current Liabilities. Where the services are expected to span beyond the next 12 months after the end of reporting period, it shall be accounted for as a Non-Current Deposits and classified as Non-Current Liabilities.</w:t>
      </w:r>
    </w:p>
    <w:p w14:paraId="12A224F9" w14:textId="7B764251"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21. Reserves</w:t>
      </w:r>
    </w:p>
    <w:p w14:paraId="4665F689" w14:textId="3D2EB89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Reserves are classified under equity in the Statement of Financial Position and include: Surpluses/ (Deficit) Reserve, Translation Reserve, Revaluation Reserve, Fair Value Reserve and other Reserves.</w:t>
      </w:r>
    </w:p>
    <w:p w14:paraId="1E89F124" w14:textId="2763656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 xml:space="preserve">22. Transfers to other government entities </w:t>
      </w:r>
    </w:p>
    <w:p w14:paraId="2CF4AB1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Transfers to other government entities are non-exchange items and are recognized as expenses in the Statement of Financial Performance.</w:t>
      </w:r>
    </w:p>
    <w:p w14:paraId="4154C0B0" w14:textId="77777777" w:rsidR="008969BF" w:rsidRPr="00545E8F" w:rsidRDefault="008969BF" w:rsidP="00F8664D">
      <w:pPr>
        <w:spacing w:line="276" w:lineRule="auto"/>
        <w:jc w:val="both"/>
        <w:rPr>
          <w:rFonts w:ascii="Times New Roman" w:hAnsi="Times New Roman" w:cs="Times New Roman"/>
          <w:sz w:val="24"/>
          <w:szCs w:val="24"/>
        </w:rPr>
      </w:pPr>
    </w:p>
    <w:p w14:paraId="1584A08A" w14:textId="77777777" w:rsidR="0010025C" w:rsidRPr="00545E8F" w:rsidRDefault="0010025C" w:rsidP="00F8664D">
      <w:pPr>
        <w:spacing w:line="276" w:lineRule="auto"/>
        <w:jc w:val="both"/>
        <w:rPr>
          <w:rFonts w:ascii="Times New Roman" w:hAnsi="Times New Roman" w:cs="Times New Roman"/>
          <w:sz w:val="24"/>
          <w:szCs w:val="24"/>
        </w:rPr>
      </w:pPr>
    </w:p>
    <w:p w14:paraId="701170AC" w14:textId="77777777" w:rsidR="008B66F3" w:rsidRPr="00545E8F" w:rsidRDefault="008B66F3" w:rsidP="00F8664D">
      <w:pPr>
        <w:spacing w:line="276" w:lineRule="auto"/>
        <w:jc w:val="both"/>
        <w:rPr>
          <w:rFonts w:ascii="Times New Roman" w:hAnsi="Times New Roman" w:cs="Times New Roman"/>
          <w:sz w:val="24"/>
          <w:szCs w:val="24"/>
        </w:rPr>
      </w:pPr>
    </w:p>
    <w:p w14:paraId="266116EE" w14:textId="77777777" w:rsidR="008B66F3" w:rsidRPr="00545E8F" w:rsidRDefault="008B66F3" w:rsidP="00F8664D">
      <w:pPr>
        <w:spacing w:line="276" w:lineRule="auto"/>
        <w:jc w:val="both"/>
        <w:rPr>
          <w:rFonts w:ascii="Times New Roman" w:hAnsi="Times New Roman" w:cs="Times New Roman"/>
          <w:sz w:val="24"/>
          <w:szCs w:val="24"/>
        </w:rPr>
      </w:pPr>
    </w:p>
    <w:p w14:paraId="6419EB92" w14:textId="77777777" w:rsidR="008B66F3" w:rsidRPr="00545E8F" w:rsidRDefault="008B66F3" w:rsidP="00F8664D">
      <w:pPr>
        <w:spacing w:line="276" w:lineRule="auto"/>
        <w:jc w:val="both"/>
        <w:rPr>
          <w:rFonts w:ascii="Times New Roman" w:hAnsi="Times New Roman" w:cs="Times New Roman"/>
          <w:sz w:val="24"/>
          <w:szCs w:val="24"/>
        </w:rPr>
      </w:pPr>
    </w:p>
    <w:p w14:paraId="32C42A6C" w14:textId="77777777" w:rsidR="008B66F3" w:rsidRPr="00545E8F" w:rsidRDefault="008B66F3" w:rsidP="00F8664D">
      <w:pPr>
        <w:spacing w:line="276" w:lineRule="auto"/>
        <w:jc w:val="both"/>
        <w:rPr>
          <w:rFonts w:ascii="Times New Roman" w:hAnsi="Times New Roman" w:cs="Times New Roman"/>
          <w:sz w:val="24"/>
          <w:szCs w:val="24"/>
        </w:rPr>
      </w:pPr>
    </w:p>
    <w:p w14:paraId="58D20922" w14:textId="77777777" w:rsidR="00F8664D" w:rsidRPr="00545E8F" w:rsidRDefault="00F8664D" w:rsidP="00F8664D">
      <w:pPr>
        <w:spacing w:line="276" w:lineRule="auto"/>
        <w:jc w:val="both"/>
        <w:rPr>
          <w:rFonts w:ascii="Times New Roman" w:hAnsi="Times New Roman" w:cs="Times New Roman"/>
          <w:sz w:val="24"/>
          <w:szCs w:val="24"/>
        </w:rPr>
      </w:pPr>
    </w:p>
    <w:p w14:paraId="2085F3CB" w14:textId="77777777" w:rsidR="00F8664D" w:rsidRPr="00545E8F" w:rsidRDefault="00F8664D" w:rsidP="00F8664D">
      <w:pPr>
        <w:spacing w:line="276" w:lineRule="auto"/>
        <w:jc w:val="both"/>
        <w:rPr>
          <w:rFonts w:ascii="Times New Roman" w:hAnsi="Times New Roman" w:cs="Times New Roman"/>
          <w:sz w:val="24"/>
          <w:szCs w:val="24"/>
        </w:rPr>
      </w:pPr>
    </w:p>
    <w:p w14:paraId="47D97682" w14:textId="77777777" w:rsidR="008B66F3" w:rsidRPr="00545E8F" w:rsidRDefault="008B66F3" w:rsidP="00F8664D">
      <w:pPr>
        <w:spacing w:line="276" w:lineRule="auto"/>
        <w:jc w:val="both"/>
        <w:rPr>
          <w:rFonts w:ascii="Times New Roman" w:hAnsi="Times New Roman" w:cs="Times New Roman"/>
          <w:sz w:val="24"/>
          <w:szCs w:val="24"/>
        </w:rPr>
      </w:pPr>
    </w:p>
    <w:p w14:paraId="40BB36B2" w14:textId="77777777" w:rsidR="008B66F3" w:rsidRPr="00545E8F" w:rsidRDefault="008B66F3" w:rsidP="00F8664D">
      <w:pPr>
        <w:spacing w:line="276" w:lineRule="auto"/>
        <w:jc w:val="both"/>
        <w:rPr>
          <w:rFonts w:ascii="Times New Roman" w:hAnsi="Times New Roman" w:cs="Times New Roman"/>
          <w:sz w:val="24"/>
          <w:szCs w:val="24"/>
        </w:rPr>
      </w:pPr>
    </w:p>
    <w:p w14:paraId="292746F4" w14:textId="77777777" w:rsidR="008B66F3" w:rsidRPr="00545E8F" w:rsidRDefault="008B66F3" w:rsidP="00F8664D">
      <w:pPr>
        <w:spacing w:line="276" w:lineRule="auto"/>
        <w:jc w:val="both"/>
        <w:rPr>
          <w:rFonts w:ascii="Times New Roman" w:hAnsi="Times New Roman" w:cs="Times New Roman"/>
          <w:sz w:val="24"/>
          <w:szCs w:val="24"/>
        </w:rPr>
      </w:pPr>
    </w:p>
    <w:p w14:paraId="564DA6A7" w14:textId="77777777" w:rsidR="008B66F3" w:rsidRPr="00545E8F" w:rsidRDefault="008B66F3" w:rsidP="00F8664D">
      <w:pPr>
        <w:spacing w:line="276" w:lineRule="auto"/>
        <w:jc w:val="both"/>
        <w:rPr>
          <w:rFonts w:ascii="Times New Roman" w:hAnsi="Times New Roman" w:cs="Times New Roman"/>
          <w:sz w:val="24"/>
          <w:szCs w:val="24"/>
        </w:rPr>
      </w:pPr>
    </w:p>
    <w:p w14:paraId="0A37656A" w14:textId="77777777" w:rsidR="008B66F3" w:rsidRPr="00545E8F" w:rsidRDefault="008B66F3" w:rsidP="00F8664D">
      <w:pPr>
        <w:spacing w:line="276" w:lineRule="auto"/>
        <w:jc w:val="both"/>
        <w:rPr>
          <w:rFonts w:ascii="Times New Roman" w:hAnsi="Times New Roman" w:cs="Times New Roman"/>
          <w:sz w:val="24"/>
          <w:szCs w:val="24"/>
        </w:rPr>
      </w:pPr>
    </w:p>
    <w:p w14:paraId="31420E3E" w14:textId="18B2691D" w:rsidR="008B66F3" w:rsidRDefault="008B66F3" w:rsidP="00F8664D">
      <w:pPr>
        <w:spacing w:line="276" w:lineRule="auto"/>
        <w:jc w:val="both"/>
        <w:rPr>
          <w:rFonts w:ascii="Times New Roman" w:hAnsi="Times New Roman" w:cs="Times New Roman"/>
          <w:sz w:val="24"/>
          <w:szCs w:val="24"/>
        </w:rPr>
      </w:pPr>
    </w:p>
    <w:p w14:paraId="0F7748D7" w14:textId="6E3228A2" w:rsidR="00934F57" w:rsidRDefault="00934F57" w:rsidP="00F8664D">
      <w:pPr>
        <w:spacing w:line="276" w:lineRule="auto"/>
        <w:jc w:val="both"/>
        <w:rPr>
          <w:rFonts w:ascii="Times New Roman" w:hAnsi="Times New Roman" w:cs="Times New Roman"/>
          <w:sz w:val="24"/>
          <w:szCs w:val="24"/>
        </w:rPr>
      </w:pPr>
    </w:p>
    <w:sectPr w:rsidR="00934F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9BF"/>
    <w:rsid w:val="000435A9"/>
    <w:rsid w:val="0010025C"/>
    <w:rsid w:val="001364A9"/>
    <w:rsid w:val="003B7D5E"/>
    <w:rsid w:val="00545E8F"/>
    <w:rsid w:val="0059497F"/>
    <w:rsid w:val="006148D7"/>
    <w:rsid w:val="00702C31"/>
    <w:rsid w:val="00801AEE"/>
    <w:rsid w:val="008969BF"/>
    <w:rsid w:val="008A30C8"/>
    <w:rsid w:val="008B66F3"/>
    <w:rsid w:val="008D3947"/>
    <w:rsid w:val="008E7E35"/>
    <w:rsid w:val="00934F57"/>
    <w:rsid w:val="00942AF8"/>
    <w:rsid w:val="0097246D"/>
    <w:rsid w:val="00990FEF"/>
    <w:rsid w:val="00A50981"/>
    <w:rsid w:val="00BA56D4"/>
    <w:rsid w:val="00C56445"/>
    <w:rsid w:val="00D02355"/>
    <w:rsid w:val="00DB624D"/>
    <w:rsid w:val="00F86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74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7</Pages>
  <Words>1827</Words>
  <Characters>10418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Ibrahim Malami</cp:lastModifiedBy>
  <cp:revision>15</cp:revision>
  <cp:lastPrinted>2025-06-26T13:38:00Z</cp:lastPrinted>
  <dcterms:created xsi:type="dcterms:W3CDTF">2025-06-23T05:44:00Z</dcterms:created>
  <dcterms:modified xsi:type="dcterms:W3CDTF">2025-06-28T14:08:00Z</dcterms:modified>
</cp:coreProperties>
</file>